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KAS UMUM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Juli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Debet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Saldo Tahun Lalu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980.000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Penerimaan Hutang Pihak Ketiga Tunai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Penerimaan Hutang Pihak Ketiga Tunai (Hutang uang Tanah untuk Operasional Awal Tahun)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75.756.650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75.756.650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1.836.000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-1.836.000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GTT Bln Juli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3.731.300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-3.731.300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PTT Bln JULI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7.777.800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-7.777.800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Penyusunan KOM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-80.000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-280.000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Gedung, Ruang, Sanitasi dan Pagar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94.000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-94.000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Gedung, Ruang, Sanitasi dan Pagar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1.100.000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-1.100.000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Gedung, Ruang, Sanitasi dan Pagar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239.000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-239.000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-1.000.000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Gedung, Ruang, Sanitasi dan Pagar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-27.000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-400.000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-4.000.000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93.500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-93.500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 belanja Almari plasti R.Kamad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-650.000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Gedung, Ruang, Sanitasi dan Pagar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-1.050.000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360.000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-360.000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Gedung, Ruang, Sanitasi dan Pagar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Matsama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-1.400.000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Kegiatan Matsama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1.650.000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-1.650.000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Kegiatan Matsama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484.500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-484.500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Iuran Penanggulangan Narkoba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Mengantar berkas serah terima Jabatan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  paku beton  dan Pilok..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-70.000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Bensin GENSET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-120.000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 ( CERET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159.000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-159.000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regulator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132.000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-132.000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  Belanja Konsumsi kegiatan Edubrent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378.000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-378.000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Iuran Ke Kecamatan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-2.500.000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 Konsumsi Rapat koordinasi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-108.000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( Kontribusi Rakor  JFT Keuangan ,PK, APK , APBN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495.000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-495.000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Pelaksana Penrimaan Tamu Penggalang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-1.200.000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 ( Belanja Insentif Panitia DiagnostikAsesmen test / edubren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-800.000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 Honot Proktor  dan teknisi  SDAT Edubren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-400.000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 Honor Pengawas SDAT Edubren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 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390.000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-390.000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-65.000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bLN Juli 2024 PONPES ASSIDIQIYAH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-3.500.000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Bln JULI 2024 PONPES ASSIROJ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-15.000.000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 ( Belanja Bohlam 2 )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96.000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-96.000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 Tunjangan Kinerja GTT Bln JULI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3.651.120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-3.651.120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31-07-2024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 ( Tunjangan Kinerja PTT Bln Juli 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6.560.400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-6.560.400
</w:t>
            </w:r>
          </w:p>
        </w:tc>
      </w:tr>
      <w:tr>
        <w:trPr>
          <w:trHeight w:val="350" w:hRule="atLeast"/>
        </w:trPr>
        <w:tc>
          <w:tcPr>
            <w:tcW w:w="86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  <w:gridSpan w:val="4"/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77.586.650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62.357.620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15.229.030</w:t>
            </w:r>
          </w:p>
        </w:tc>
      </w:tr>
    </w:tbl>
    <w:p/>
    <w:p>
      <w:pPr>
        <w:ind w:left="0" w:right="0"/>
        <w:spacing w:after="0"/>
      </w:pPr>
      <w:r>
        <w:rPr>
          <w:rStyle w:val="isi"/>
        </w:rPr>
        <w:t xml:space="preserve">Pada hari ini Ahad, 02 Maret 2025, Buku Kas Umum bulan Juli 2024 ditutup dengan keadaan / kondisi Buku sebagai berikut : </w:t>
      </w:r>
    </w:p>
    <w:p/>
    <w:p>
      <w:pPr>
        <w:spacing w:line="240" w:lineRule="auto"/>
      </w:pPr>
      <w:r>
        <w:rPr>
          <w:rStyle w:val="isi"/>
        </w:rPr>
        <w:t xml:space="preserve">Saldo Buku Kas			</w:t>
      </w:r>
      <w:r>
        <w:rPr>
          <w:rStyle w:val="isi"/>
        </w:rPr>
        <w:t xml:space="preserve">: 15.229.030</w:t>
      </w:r>
    </w:p>
    <w:p>
      <w:pPr>
        <w:spacing w:line="240" w:lineRule="auto"/>
      </w:pPr>
      <w:r>
        <w:rPr>
          <w:rStyle w:val="isi"/>
        </w:rPr>
        <w:t xml:space="preserve">Terdiri dari 	 :</w:t>
      </w:r>
    </w:p>
    <w:p>
      <w:pPr>
        <w:spacing w:line="240" w:lineRule="auto"/>
      </w:pPr>
      <w:r>
        <w:rPr>
          <w:rStyle w:val="isi"/>
        </w:rPr>
        <w:t xml:space="preserve">- Saldo Kas Tunai 			 </w:t>
      </w:r>
      <w:r>
        <w:rPr>
          <w:rStyle w:val="isi"/>
        </w:rPr>
        <w:t xml:space="preserve">: 15.229.030</w:t>
      </w:r>
    </w:p>
    <w:p>
      <w:pPr>
        <w:spacing w:line="240" w:lineRule="auto"/>
      </w:pPr>
      <w:r>
        <w:rPr>
          <w:rStyle w:val="isi"/>
        </w:rPr>
        <w:t xml:space="preserve">- Saldo Kas Bank 			 </w:t>
      </w:r>
      <w:r>
        <w:rPr>
          <w:rStyle w:val="isi"/>
        </w:rPr>
        <w:t xml:space="preserve">: 0</w:t>
      </w:r>
    </w:p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Kebumen, 02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</w:t>
      </w:r>
      <w:r>
        <w:rPr>
          <w:rStyle w:val="isi"/>
        </w:rPr>
        <w:t xml:space="preserve">NIP. -</w:t>
      </w:r>
    </w:p>
    <w:sectPr>
      <w:pgSz w:orient="portrait" w:w="11905.511811023622" w:h="16837.79527559055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2025-03-02T21:20:56+07:00</dcterms:created>
  <dcterms:modified xsi:type="dcterms:W3CDTF">2025-03-02T21:20:56+07:00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